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3E3E32F1" w:rsidR="00D05C80" w:rsidRDefault="002B5B32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 w:rsidRPr="002B5B32">
              <w:rPr>
                <w:b/>
                <w:sz w:val="28"/>
                <w:szCs w:val="28"/>
                <w:lang w:eastAsia="fr-BE"/>
              </w:rPr>
              <w:t>Techniques de négociation : approches culturelle</w:t>
            </w:r>
            <w:r w:rsidR="009835FE">
              <w:rPr>
                <w:b/>
                <w:sz w:val="28"/>
                <w:szCs w:val="28"/>
                <w:lang w:eastAsia="fr-BE"/>
              </w:rPr>
              <w:t>s</w:t>
            </w:r>
            <w:r w:rsidRPr="002B5B32">
              <w:rPr>
                <w:b/>
                <w:sz w:val="28"/>
                <w:szCs w:val="28"/>
                <w:lang w:eastAsia="fr-BE"/>
              </w:rPr>
              <w:t xml:space="preserve"> et psychologique</w:t>
            </w:r>
            <w:r w:rsidR="009835FE">
              <w:rPr>
                <w:b/>
                <w:sz w:val="28"/>
                <w:szCs w:val="28"/>
                <w:lang w:eastAsia="fr-BE"/>
              </w:rPr>
              <w:t>s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157C1B66" w:rsidR="00D05C80" w:rsidRPr="00504ECA" w:rsidRDefault="002B5B32">
            <w:r>
              <w:t>Approche multiculturelle de la négociation et du marketing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2B7BB253" w:rsidR="00D05C80" w:rsidRPr="00504ECA" w:rsidRDefault="00D06F61">
            <w:r>
              <w:t>47</w:t>
            </w:r>
            <w:r w:rsidR="0018427B">
              <w:t xml:space="preserve"> périodes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2B5B32">
              <w:t>(</w:t>
            </w:r>
            <w:r>
              <w:t>39</w:t>
            </w:r>
            <w:r w:rsidR="00D2475B">
              <w:t xml:space="preserve">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D06F61" w:rsidRPr="00504ECA" w14:paraId="693657C4" w14:textId="77777777" w:rsidTr="00711D42">
        <w:trPr>
          <w:trHeight w:val="197"/>
        </w:trPr>
        <w:tc>
          <w:tcPr>
            <w:tcW w:w="2943" w:type="dxa"/>
          </w:tcPr>
          <w:p w14:paraId="02EB0EED" w14:textId="77777777" w:rsidR="00D06F61" w:rsidRPr="00504ECA" w:rsidRDefault="00D06F61" w:rsidP="00D06F61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0B39855E" w:rsidR="00D06F61" w:rsidRPr="00504ECA" w:rsidRDefault="00D06F61" w:rsidP="00D06F61">
            <w:r>
              <w:t>Être titulaire d’un bachelier ou d’un master et justifier d’une compétence professionnelle à jour dans le domaine.</w:t>
            </w:r>
          </w:p>
        </w:tc>
      </w:tr>
      <w:tr w:rsidR="00D06F61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D06F61" w:rsidRPr="00504ECA" w:rsidRDefault="00D06F61" w:rsidP="00D06F61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D06F61" w:rsidRPr="00504ECA" w:rsidRDefault="00D06F61" w:rsidP="00D06F61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D06F61" w:rsidRPr="00504ECA" w:rsidRDefault="00D06F61" w:rsidP="00D06F61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2E69211E" w14:textId="0ACF0E2F" w:rsidR="00D975AE" w:rsidRDefault="00D975AE" w:rsidP="00D975AE">
      <w:pPr>
        <w:ind w:left="360"/>
        <w:jc w:val="both"/>
        <w:rPr>
          <w:bCs/>
          <w:i/>
        </w:rPr>
      </w:pPr>
      <w:r>
        <w:rPr>
          <w:bCs/>
          <w:i/>
        </w:rPr>
        <w:t>À partir de situations concrètes de la vie professionnelle mettant en jeu des stratégies et des pratiques commerciales sur des marchés cibles dans un contexte multiculturel</w:t>
      </w:r>
      <w:r w:rsidR="00104B28">
        <w:rPr>
          <w:bCs/>
          <w:i/>
        </w:rPr>
        <w:t xml:space="preserve"> et</w:t>
      </w:r>
      <w:r>
        <w:rPr>
          <w:bCs/>
          <w:i/>
        </w:rPr>
        <w:t xml:space="preserve"> </w:t>
      </w:r>
      <w:r w:rsidR="00104B28">
        <w:rPr>
          <w:bCs/>
          <w:i/>
        </w:rPr>
        <w:t>e</w:t>
      </w:r>
      <w:r>
        <w:rPr>
          <w:bCs/>
          <w:i/>
        </w:rPr>
        <w:t>n disposant de la documentation ad hoc,</w:t>
      </w:r>
      <w:r w:rsidR="00104B28" w:rsidRPr="00104B28">
        <w:rPr>
          <w:bCs/>
          <w:i/>
        </w:rPr>
        <w:t xml:space="preserve"> </w:t>
      </w:r>
      <w:r w:rsidR="00104B28">
        <w:rPr>
          <w:bCs/>
          <w:i/>
        </w:rPr>
        <w:t>l’étudiant sera capable :</w:t>
      </w:r>
    </w:p>
    <w:p w14:paraId="310C1E38" w14:textId="43ECE788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rPr>
          <w:bCs/>
          <w:iCs/>
        </w:rPr>
        <w:t>De caractériser des processus de négociation commerciale ;</w:t>
      </w:r>
    </w:p>
    <w:p w14:paraId="38F02741" w14:textId="7804413D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t>De relever et de caractériser les éléments clés de la différenciation culturelle en négociation commerciale ;</w:t>
      </w:r>
    </w:p>
    <w:p w14:paraId="701ECB71" w14:textId="18F1A89F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lang w:eastAsia="fr-BE"/>
        </w:rPr>
      </w:pPr>
      <w:r>
        <w:t xml:space="preserve">D’analyser les principales </w:t>
      </w:r>
      <w:r>
        <w:rPr>
          <w:bCs/>
          <w:iCs/>
        </w:rPr>
        <w:t>bases</w:t>
      </w:r>
      <w:r>
        <w:t xml:space="preserve"> théoriques de l’anthropologie sociale (</w:t>
      </w:r>
      <w:proofErr w:type="spellStart"/>
      <w:r>
        <w:t>Levi-Strauss</w:t>
      </w:r>
      <w:proofErr w:type="spellEnd"/>
      <w:r>
        <w:t>, Godelier, Mauss, …) ;</w:t>
      </w:r>
    </w:p>
    <w:p w14:paraId="686F9E4B" w14:textId="3D51A47E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lang w:val="fr-FR" w:eastAsia="ar-SA"/>
        </w:rPr>
      </w:pPr>
      <w:r>
        <w:t>D’établir des liens entre l’anthropologie et la négociation à l’international (acculturation, notions de culture, les éléments de perception culturelle de la négociation, quelques grandes sphères culturelles, modèles de Meyer, …) ;</w:t>
      </w:r>
    </w:p>
    <w:p w14:paraId="1D1880FC" w14:textId="7178B8C4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rFonts w:ascii="Calibri" w:hAnsi="Calibri" w:cs="Calibri"/>
          <w:color w:val="000000"/>
        </w:rPr>
      </w:pPr>
      <w:r>
        <w:t xml:space="preserve">D’analyser les principales </w:t>
      </w:r>
      <w:r>
        <w:rPr>
          <w:bCs/>
          <w:iCs/>
        </w:rPr>
        <w:t>bases</w:t>
      </w:r>
      <w:r>
        <w:t xml:space="preserve"> théoriques de la psychologie </w:t>
      </w:r>
      <w:r>
        <w:rPr>
          <w:color w:val="000000"/>
        </w:rPr>
        <w:t>sociale (Milgram, …) ;</w:t>
      </w:r>
    </w:p>
    <w:p w14:paraId="5018FFF0" w14:textId="424CDB93" w:rsidR="00D975AE" w:rsidRDefault="00D975AE" w:rsidP="00D975AE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D’établir des liens entre la psychologie et la négociation (motivation profonde, </w:t>
      </w:r>
      <w:r>
        <w:rPr>
          <w:bCs/>
          <w:iCs/>
        </w:rPr>
        <w:t>importance</w:t>
      </w:r>
      <w:r>
        <w:rPr>
          <w:color w:val="000000"/>
        </w:rPr>
        <w:t xml:space="preserve"> de la psychologie sociale, comportement des individus amenés à prendre en compte leurs divergences, MBTI [</w:t>
      </w:r>
      <w:r>
        <w:rPr>
          <w:color w:val="000000" w:themeColor="text1"/>
          <w:shd w:val="clear" w:color="auto" w:fill="FFFFFF"/>
        </w:rPr>
        <w:t>Myers Briggs Type Indicator</w:t>
      </w:r>
      <w:r>
        <w:rPr>
          <w:color w:val="000000"/>
        </w:rPr>
        <w:t>], …).</w:t>
      </w: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046EB51E" w14:textId="157FDD8C" w:rsidR="00AA2CD3" w:rsidRPr="00D463AE" w:rsidRDefault="00AA2CD3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41C8" w14:textId="77777777" w:rsidR="00AC30AC" w:rsidRDefault="00AC30AC" w:rsidP="000A1A4E">
      <w:pPr>
        <w:spacing w:after="0" w:line="240" w:lineRule="auto"/>
      </w:pPr>
      <w:r>
        <w:separator/>
      </w:r>
    </w:p>
  </w:endnote>
  <w:endnote w:type="continuationSeparator" w:id="0">
    <w:p w14:paraId="09F10DA9" w14:textId="77777777" w:rsidR="00AC30AC" w:rsidRDefault="00AC30AC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B7EA" w14:textId="77777777" w:rsidR="00AC30AC" w:rsidRDefault="00AC30AC" w:rsidP="000A1A4E">
      <w:pPr>
        <w:spacing w:after="0" w:line="240" w:lineRule="auto"/>
      </w:pPr>
      <w:r>
        <w:separator/>
      </w:r>
    </w:p>
  </w:footnote>
  <w:footnote w:type="continuationSeparator" w:id="0">
    <w:p w14:paraId="280C1F79" w14:textId="77777777" w:rsidR="00AC30AC" w:rsidRDefault="00AC30AC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3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num w:numId="1" w16cid:durableId="1177618975">
    <w:abstractNumId w:val="8"/>
  </w:num>
  <w:num w:numId="2" w16cid:durableId="1091006093">
    <w:abstractNumId w:val="10"/>
  </w:num>
  <w:num w:numId="3" w16cid:durableId="1556744944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2142917670">
    <w:abstractNumId w:val="7"/>
  </w:num>
  <w:num w:numId="5" w16cid:durableId="363603840">
    <w:abstractNumId w:val="9"/>
  </w:num>
  <w:num w:numId="6" w16cid:durableId="18005687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54993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04B28"/>
    <w:rsid w:val="0012154B"/>
    <w:rsid w:val="001535BE"/>
    <w:rsid w:val="0018427B"/>
    <w:rsid w:val="001B22A1"/>
    <w:rsid w:val="001D19F1"/>
    <w:rsid w:val="001F1354"/>
    <w:rsid w:val="001F21A9"/>
    <w:rsid w:val="00216DFD"/>
    <w:rsid w:val="00234D5E"/>
    <w:rsid w:val="00247355"/>
    <w:rsid w:val="00292D81"/>
    <w:rsid w:val="002B5B32"/>
    <w:rsid w:val="002C3675"/>
    <w:rsid w:val="002D0DF8"/>
    <w:rsid w:val="00343B09"/>
    <w:rsid w:val="003B36E1"/>
    <w:rsid w:val="0042726A"/>
    <w:rsid w:val="004422EA"/>
    <w:rsid w:val="0044577B"/>
    <w:rsid w:val="0047241A"/>
    <w:rsid w:val="004739FD"/>
    <w:rsid w:val="004C47C1"/>
    <w:rsid w:val="00504ECA"/>
    <w:rsid w:val="00507830"/>
    <w:rsid w:val="005775AA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771C7"/>
    <w:rsid w:val="007E72C8"/>
    <w:rsid w:val="008835A9"/>
    <w:rsid w:val="008E40AB"/>
    <w:rsid w:val="00930BAC"/>
    <w:rsid w:val="009603A1"/>
    <w:rsid w:val="009835FE"/>
    <w:rsid w:val="009A6741"/>
    <w:rsid w:val="009F5355"/>
    <w:rsid w:val="00A06013"/>
    <w:rsid w:val="00A4676A"/>
    <w:rsid w:val="00A53632"/>
    <w:rsid w:val="00A66639"/>
    <w:rsid w:val="00AA2CD3"/>
    <w:rsid w:val="00AC30AC"/>
    <w:rsid w:val="00AF3451"/>
    <w:rsid w:val="00AF4B95"/>
    <w:rsid w:val="00B467C6"/>
    <w:rsid w:val="00B73EE0"/>
    <w:rsid w:val="00B82366"/>
    <w:rsid w:val="00C0324B"/>
    <w:rsid w:val="00C200D7"/>
    <w:rsid w:val="00C22812"/>
    <w:rsid w:val="00C252F5"/>
    <w:rsid w:val="00C94A47"/>
    <w:rsid w:val="00C95F6D"/>
    <w:rsid w:val="00D05C80"/>
    <w:rsid w:val="00D06F61"/>
    <w:rsid w:val="00D2475B"/>
    <w:rsid w:val="00D463AE"/>
    <w:rsid w:val="00D975AE"/>
    <w:rsid w:val="00DE6E32"/>
    <w:rsid w:val="00E3289F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11</cp:revision>
  <cp:lastPrinted>2022-06-29T06:37:00Z</cp:lastPrinted>
  <dcterms:created xsi:type="dcterms:W3CDTF">2025-06-02T12:00:00Z</dcterms:created>
  <dcterms:modified xsi:type="dcterms:W3CDTF">2025-06-03T07:07:00Z</dcterms:modified>
</cp:coreProperties>
</file>